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CB" w:rsidRPr="00B51D2A" w:rsidRDefault="00001BCB" w:rsidP="00001BCB">
      <w:pPr>
        <w:ind w:left="0"/>
        <w:jc w:val="center"/>
        <w:rPr>
          <w:rFonts w:ascii="Bookman Old Style" w:hAnsi="Bookman Old Style"/>
          <w:sz w:val="32"/>
          <w:szCs w:val="32"/>
          <w:lang w:val="fr-FR"/>
        </w:rPr>
      </w:pPr>
      <w:r w:rsidRPr="00B51D2A">
        <w:rPr>
          <w:rFonts w:ascii="Bookman Old Style" w:hAnsi="Bookman Old Style"/>
          <w:sz w:val="32"/>
          <w:szCs w:val="32"/>
          <w:lang w:val="fr-FR"/>
        </w:rPr>
        <w:t>Le passé antérieur</w:t>
      </w:r>
    </w:p>
    <w:p w:rsidR="00001BCB" w:rsidRPr="00B51D2A" w:rsidRDefault="00001BCB" w:rsidP="00001BCB">
      <w:pPr>
        <w:spacing w:before="180" w:after="100" w:afterAutospacing="1" w:line="264" w:lineRule="atLeast"/>
        <w:ind w:left="0"/>
        <w:rPr>
          <w:rFonts w:asciiTheme="majorHAnsi" w:eastAsia="Times New Roman" w:hAnsiTheme="majorHAnsi" w:cs="Arial"/>
          <w:sz w:val="20"/>
          <w:szCs w:val="20"/>
          <w:lang w:val="fr-FR" w:eastAsia="fr-FR"/>
        </w:rPr>
      </w:pP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Emploi du passé antérieur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</w: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Le passé antérieur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est utilisé le plus souvent avec le </w:t>
      </w: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passé simple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pour exprimer l'antériorité d'une action.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</w:r>
      <w:r w:rsidRPr="00B51D2A">
        <w:rPr>
          <w:rFonts w:asciiTheme="majorHAnsi" w:eastAsia="Times New Roman" w:hAnsiTheme="majorHAnsi" w:cs="Arial"/>
          <w:sz w:val="20"/>
          <w:szCs w:val="20"/>
          <w:u w:val="single"/>
          <w:lang w:val="fr-FR" w:eastAsia="fr-FR"/>
        </w:rPr>
        <w:t>Exemple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: </w:t>
      </w:r>
      <w:r w:rsidRPr="00B51D2A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Quand il </w:t>
      </w:r>
      <w:r w:rsidRPr="00B51D2A">
        <w:rPr>
          <w:rFonts w:asciiTheme="majorHAnsi" w:eastAsia="Times New Roman" w:hAnsiTheme="majorHAnsi" w:cs="Arial"/>
          <w:b/>
          <w:bCs/>
          <w:i/>
          <w:iCs/>
          <w:sz w:val="20"/>
          <w:szCs w:val="20"/>
          <w:lang w:val="fr-FR" w:eastAsia="fr-FR"/>
        </w:rPr>
        <w:t>eut fini</w:t>
      </w:r>
      <w:r w:rsidRPr="00B51D2A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, il hurla !</w:t>
      </w:r>
    </w:p>
    <w:p w:rsidR="00001BCB" w:rsidRPr="00B51D2A" w:rsidRDefault="00001BCB" w:rsidP="00001BCB">
      <w:pPr>
        <w:spacing w:before="180" w:after="100" w:afterAutospacing="1" w:line="264" w:lineRule="atLeast"/>
        <w:ind w:left="0"/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</w:pP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Construction du passé antérieur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  <w:t>On conjugue les auxiliaires </w:t>
      </w: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être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ou </w:t>
      </w: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avoir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au </w:t>
      </w: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passé simple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auquel on ajoute le </w:t>
      </w:r>
      <w:r w:rsidRPr="00B51D2A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participe passé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du verbe à conjuguer.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</w:r>
      <w:r w:rsidRPr="00B51D2A">
        <w:rPr>
          <w:rFonts w:asciiTheme="majorHAnsi" w:eastAsia="Times New Roman" w:hAnsiTheme="majorHAnsi" w:cs="Arial"/>
          <w:sz w:val="20"/>
          <w:szCs w:val="20"/>
          <w:u w:val="single"/>
          <w:lang w:val="fr-FR" w:eastAsia="fr-FR"/>
        </w:rPr>
        <w:t>Exemple</w:t>
      </w:r>
      <w:r w:rsidRPr="00B51D2A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: </w:t>
      </w:r>
      <w:r w:rsidRPr="00B51D2A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Nous </w:t>
      </w:r>
      <w:r w:rsidRPr="00B51D2A">
        <w:rPr>
          <w:rFonts w:asciiTheme="majorHAnsi" w:eastAsia="Times New Roman" w:hAnsiTheme="majorHAnsi" w:cs="Arial"/>
          <w:b/>
          <w:bCs/>
          <w:i/>
          <w:iCs/>
          <w:sz w:val="20"/>
          <w:szCs w:val="20"/>
          <w:lang w:val="fr-FR" w:eastAsia="fr-FR"/>
        </w:rPr>
        <w:t>eûmes parlé</w:t>
      </w:r>
      <w:r w:rsidRPr="00B51D2A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. Ils </w:t>
      </w:r>
      <w:r w:rsidRPr="00B51D2A">
        <w:rPr>
          <w:rFonts w:asciiTheme="majorHAnsi" w:eastAsia="Times New Roman" w:hAnsiTheme="majorHAnsi" w:cs="Arial"/>
          <w:b/>
          <w:bCs/>
          <w:i/>
          <w:iCs/>
          <w:sz w:val="20"/>
          <w:szCs w:val="20"/>
          <w:lang w:val="fr-FR" w:eastAsia="fr-FR"/>
        </w:rPr>
        <w:t>furent partis</w:t>
      </w:r>
      <w:r w:rsidRPr="00B51D2A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.</w:t>
      </w:r>
    </w:p>
    <w:p w:rsidR="00A00481" w:rsidRPr="00B51D2A" w:rsidRDefault="00A00481" w:rsidP="00A00481">
      <w:pPr>
        <w:shd w:val="clear" w:color="auto" w:fill="FFFFFF"/>
        <w:spacing w:after="92" w:line="185" w:lineRule="atLeast"/>
        <w:ind w:left="0"/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</w:pPr>
      <w:r w:rsidRPr="00B51D2A">
        <w:rPr>
          <w:rFonts w:asciiTheme="majorHAnsi" w:eastAsia="Times New Roman" w:hAnsiTheme="majorHAnsi" w:cs="Helvetica"/>
          <w:sz w:val="20"/>
          <w:szCs w:val="20"/>
          <w:lang w:val="fr-FR" w:eastAsia="fr-FR"/>
        </w:rPr>
        <w:t xml:space="preserve">On le trouve généralement dans les subordonnées temporelles introduites par: </w:t>
      </w:r>
      <w:r w:rsidRPr="00B51D2A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quand, lorsque, une fois que, dès que, tant que</w:t>
      </w:r>
    </w:p>
    <w:tbl>
      <w:tblPr>
        <w:tblStyle w:val="Trameclaire-Accent4"/>
        <w:tblW w:w="7764" w:type="dxa"/>
        <w:jc w:val="center"/>
        <w:tblLook w:val="04A0"/>
      </w:tblPr>
      <w:tblGrid>
        <w:gridCol w:w="1799"/>
        <w:gridCol w:w="430"/>
        <w:gridCol w:w="1200"/>
        <w:gridCol w:w="630"/>
        <w:gridCol w:w="1200"/>
        <w:gridCol w:w="430"/>
        <w:gridCol w:w="2075"/>
      </w:tblGrid>
      <w:tr w:rsidR="00001BCB" w:rsidRPr="00B51D2A" w:rsidTr="00001BCB">
        <w:trPr>
          <w:cnfStyle w:val="100000000000"/>
          <w:jc w:val="center"/>
        </w:trPr>
        <w:tc>
          <w:tcPr>
            <w:cnfStyle w:val="001000000000"/>
            <w:tcW w:w="1800" w:type="dxa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jc w:val="center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Pronom</w:t>
            </w:r>
          </w:p>
        </w:tc>
        <w:tc>
          <w:tcPr>
            <w:tcW w:w="0" w:type="auto"/>
            <w:vMerge w:val="restart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+</w:t>
            </w:r>
          </w:p>
        </w:tc>
        <w:tc>
          <w:tcPr>
            <w:tcW w:w="1200" w:type="dxa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Auxiliaire avoir</w:t>
            </w:r>
          </w:p>
        </w:tc>
        <w:tc>
          <w:tcPr>
            <w:tcW w:w="0" w:type="auto"/>
            <w:vMerge w:val="restart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OU</w:t>
            </w:r>
          </w:p>
        </w:tc>
        <w:tc>
          <w:tcPr>
            <w:tcW w:w="1200" w:type="dxa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Auxiliaire être</w:t>
            </w:r>
          </w:p>
        </w:tc>
        <w:tc>
          <w:tcPr>
            <w:tcW w:w="0" w:type="auto"/>
            <w:vMerge w:val="restart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+</w:t>
            </w:r>
          </w:p>
        </w:tc>
        <w:tc>
          <w:tcPr>
            <w:tcW w:w="0" w:type="auto"/>
            <w:vMerge w:val="restart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Participe passé</w:t>
            </w:r>
          </w:p>
        </w:tc>
      </w:tr>
      <w:tr w:rsidR="00001BCB" w:rsidRPr="00B51D2A" w:rsidTr="00001BCB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j' / je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B51D2A" w:rsidTr="00001BCB">
        <w:trPr>
          <w:jc w:val="center"/>
        </w:trPr>
        <w:tc>
          <w:tcPr>
            <w:cnfStyle w:val="001000000000"/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tu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B51D2A" w:rsidTr="00001BCB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il / elle / on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eut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fut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B51D2A" w:rsidTr="00001BCB">
        <w:trPr>
          <w:jc w:val="center"/>
        </w:trPr>
        <w:tc>
          <w:tcPr>
            <w:cnfStyle w:val="001000000000"/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nous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eûmes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fûmes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B51D2A" w:rsidTr="00001BCB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vous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eûtes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fûtes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B51D2A" w:rsidTr="00001BCB">
        <w:trPr>
          <w:jc w:val="center"/>
        </w:trPr>
        <w:tc>
          <w:tcPr>
            <w:cnfStyle w:val="001000000000"/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ils / elles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eurent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B51D2A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B51D2A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furent</w:t>
            </w: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B51D2A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</w:tbl>
    <w:p w:rsidR="00001BCB" w:rsidRPr="00B51D2A" w:rsidRDefault="00001BCB" w:rsidP="00B51D2A">
      <w:pPr>
        <w:ind w:left="0"/>
        <w:rPr>
          <w:rFonts w:ascii="Bookman Old Style" w:hAnsi="Bookman Old Style"/>
          <w:b/>
          <w:i/>
          <w:szCs w:val="22"/>
          <w:lang w:val="fr-FR"/>
        </w:rPr>
      </w:pPr>
      <w:r w:rsidRPr="00B51D2A">
        <w:rPr>
          <w:rFonts w:ascii="Bookman Old Style" w:hAnsi="Bookman Old Style"/>
          <w:b/>
          <w:i/>
          <w:szCs w:val="22"/>
          <w:lang w:val="fr-FR"/>
        </w:rPr>
        <w:t>Exercice :</w:t>
      </w:r>
    </w:p>
    <w:p w:rsidR="00001BCB" w:rsidRPr="00B51D2A" w:rsidRDefault="00001BCB" w:rsidP="00B51D2A">
      <w:pPr>
        <w:rPr>
          <w:rFonts w:ascii="Bookman Old Style" w:hAnsi="Bookman Old Style"/>
          <w:szCs w:val="22"/>
          <w:lang w:val="fr-FR"/>
        </w:rPr>
      </w:pPr>
    </w:p>
    <w:p w:rsidR="00977686" w:rsidRPr="00B51D2A" w:rsidRDefault="0097768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Aussitôt que nous (finir) </w:t>
      </w:r>
      <w:r w:rsidR="00B51D2A">
        <w:rPr>
          <w:rFonts w:ascii="Bookman Old Style" w:hAnsi="Bookman Old Style"/>
          <w:szCs w:val="22"/>
          <w:lang w:val="fr-FR"/>
        </w:rPr>
        <w:t>________________________</w:t>
      </w:r>
      <w:r w:rsidRPr="00B51D2A">
        <w:rPr>
          <w:rFonts w:ascii="Bookman Old Style" w:hAnsi="Bookman Old Style"/>
          <w:szCs w:val="22"/>
          <w:lang w:val="fr-FR"/>
        </w:rPr>
        <w:t xml:space="preserve"> de manger, les invités sortirent dans le jardin.</w:t>
      </w:r>
    </w:p>
    <w:p w:rsidR="00226A7A" w:rsidRPr="00B51D2A" w:rsidRDefault="00226A7A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Quand les Alliés (envahir)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la France, Napoléon abdiqua.</w:t>
      </w:r>
    </w:p>
    <w:p w:rsidR="007B0FDB" w:rsidRPr="00B51D2A" w:rsidRDefault="007B0FDB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Lorsque nous (s’habiller) nous </w:t>
      </w:r>
      <w:r w:rsidR="00B51D2A">
        <w:rPr>
          <w:rFonts w:ascii="Bookman Old Style" w:hAnsi="Bookman Old Style"/>
          <w:szCs w:val="22"/>
          <w:lang w:val="fr-FR"/>
        </w:rPr>
        <w:t>________________________</w:t>
      </w:r>
      <w:r w:rsidRPr="00B51D2A">
        <w:rPr>
          <w:rFonts w:ascii="Bookman Old Style" w:hAnsi="Bookman Old Style"/>
          <w:szCs w:val="22"/>
          <w:lang w:val="fr-FR"/>
        </w:rPr>
        <w:t>, nous sortîmes.</w:t>
      </w:r>
    </w:p>
    <w:p w:rsidR="00226A7A" w:rsidRPr="00B51D2A" w:rsidRDefault="00470853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Lorsqu’elle (constater)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que sa température n’avait pas baissé, Emma décida de rester au lit.</w:t>
      </w:r>
    </w:p>
    <w:p w:rsidR="00977686" w:rsidRPr="00B51D2A" w:rsidRDefault="0097768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Lorsque vous (me parler) </w:t>
      </w:r>
      <w:r w:rsidR="00B51D2A">
        <w:rPr>
          <w:rFonts w:ascii="Bookman Old Style" w:hAnsi="Bookman Old Style"/>
          <w:szCs w:val="22"/>
          <w:lang w:val="fr-FR"/>
        </w:rPr>
        <w:t xml:space="preserve">m’ ________________________ </w:t>
      </w:r>
      <w:r w:rsidRPr="00B51D2A">
        <w:rPr>
          <w:rFonts w:ascii="Bookman Old Style" w:hAnsi="Bookman Old Style"/>
          <w:szCs w:val="22"/>
          <w:lang w:val="fr-FR"/>
        </w:rPr>
        <w:t xml:space="preserve"> d’amour, je crus m’</w:t>
      </w:r>
      <w:r w:rsidR="00690DD3" w:rsidRPr="00B51D2A">
        <w:rPr>
          <w:rFonts w:ascii="Bookman Old Style" w:hAnsi="Bookman Old Style"/>
          <w:szCs w:val="22"/>
          <w:lang w:val="fr-FR"/>
        </w:rPr>
        <w:t>é</w:t>
      </w:r>
      <w:r w:rsidRPr="00B51D2A">
        <w:rPr>
          <w:rFonts w:ascii="Bookman Old Style" w:hAnsi="Bookman Old Style"/>
          <w:szCs w:val="22"/>
          <w:lang w:val="fr-FR"/>
        </w:rPr>
        <w:t>vanouir.</w:t>
      </w:r>
    </w:p>
    <w:p w:rsidR="00226A7A" w:rsidRPr="00B51D2A" w:rsidRDefault="00470853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Dès qu’il (cacheter)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sa lettre, il courut la poster.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Quand il (tondre)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la pelouse, il se reposa.</w:t>
      </w:r>
    </w:p>
    <w:p w:rsidR="00226A7A" w:rsidRPr="00B51D2A" w:rsidRDefault="00226A7A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Après qu’il y (passer)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="00470853" w:rsidRPr="00B51D2A">
        <w:rPr>
          <w:rFonts w:ascii="Bookman Old Style" w:hAnsi="Bookman Old Style"/>
          <w:szCs w:val="22"/>
          <w:lang w:val="fr-FR"/>
        </w:rPr>
        <w:t>plusieurs années, il y mourut en 1821.</w:t>
      </w:r>
    </w:p>
    <w:p w:rsidR="00977686" w:rsidRPr="00B51D2A" w:rsidRDefault="0097768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Tant qu’ils (ne pas arriver) </w:t>
      </w:r>
      <w:r w:rsidR="00690DD3" w:rsidRPr="00B51D2A">
        <w:rPr>
          <w:rFonts w:ascii="Bookman Old Style" w:hAnsi="Bookman Old Style"/>
          <w:szCs w:val="22"/>
          <w:lang w:val="fr-FR"/>
        </w:rPr>
        <w:t xml:space="preserve">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="00690DD3" w:rsidRPr="00B51D2A">
        <w:rPr>
          <w:rFonts w:ascii="Bookman Old Style" w:hAnsi="Bookman Old Style"/>
          <w:szCs w:val="22"/>
          <w:lang w:val="fr-FR"/>
        </w:rPr>
        <w:t>dans le bois, l’enfant ne dit un seul mot.</w:t>
      </w:r>
    </w:p>
    <w:p w:rsidR="00470853" w:rsidRPr="00B51D2A" w:rsidRDefault="00470853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David partit dès qu’il (recevoir)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le télégramme de Londres.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Je (désirer)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qu’il vînt nous embrasser avant de partir.</w:t>
      </w:r>
    </w:p>
    <w:p w:rsidR="00470853" w:rsidRPr="00B51D2A" w:rsidRDefault="00470853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Aussitôt que la nuit (tomber) </w:t>
      </w:r>
      <w:r w:rsidR="00B51D2A">
        <w:rPr>
          <w:rFonts w:ascii="Bookman Old Style" w:hAnsi="Bookman Old Style"/>
          <w:szCs w:val="22"/>
          <w:lang w:val="fr-FR"/>
        </w:rPr>
        <w:t>________________________</w:t>
      </w:r>
      <w:r w:rsidRPr="00B51D2A">
        <w:rPr>
          <w:rFonts w:ascii="Bookman Old Style" w:hAnsi="Bookman Old Style"/>
          <w:szCs w:val="22"/>
          <w:lang w:val="fr-FR"/>
        </w:rPr>
        <w:t>, les campeurs allumèrent un feu.</w:t>
      </w:r>
    </w:p>
    <w:p w:rsidR="00690DD3" w:rsidRPr="00B51D2A" w:rsidRDefault="00690DD3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Une fois qu’il (trouver)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d’où provenait le bruit, il prit son arme et sortit.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Dès que je (recevoir)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la confirmation de mon stage, je guettai le facteur.</w:t>
      </w:r>
    </w:p>
    <w:p w:rsidR="00001BCB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Tu (donner)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tout pour qu’elle te sourît de nouveau.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>Après que les pompiers (contrôler) eurent contrôlé les extincteurs, ils les mirent en marche.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Après que vous (entrer) </w:t>
      </w:r>
      <w:r w:rsidR="00B51D2A">
        <w:rPr>
          <w:rFonts w:ascii="Bookman Old Style" w:hAnsi="Bookman Old Style"/>
          <w:szCs w:val="22"/>
          <w:lang w:val="fr-FR"/>
        </w:rPr>
        <w:t>________________________</w:t>
      </w:r>
      <w:r w:rsidRPr="00B51D2A">
        <w:rPr>
          <w:rFonts w:ascii="Bookman Old Style" w:hAnsi="Bookman Old Style"/>
          <w:szCs w:val="22"/>
          <w:lang w:val="fr-FR"/>
        </w:rPr>
        <w:t>, je pris la parole.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Lorsque la pelleteuse (creuser)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la tranchée, les travailleurs posèrent les câbles.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Dès que je (arriver)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dans la pièce, le silence se fit.</w:t>
      </w:r>
    </w:p>
    <w:p w:rsidR="00FC5406" w:rsidRPr="00B51D2A" w:rsidRDefault="00FC5406" w:rsidP="00B51D2A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B51D2A">
        <w:rPr>
          <w:rFonts w:ascii="Bookman Old Style" w:hAnsi="Bookman Old Style"/>
          <w:szCs w:val="22"/>
          <w:lang w:val="fr-FR"/>
        </w:rPr>
        <w:t xml:space="preserve">Dès que nous (rassembler) </w:t>
      </w:r>
      <w:r w:rsidR="00B51D2A">
        <w:rPr>
          <w:rFonts w:ascii="Bookman Old Style" w:hAnsi="Bookman Old Style"/>
          <w:szCs w:val="22"/>
          <w:lang w:val="fr-FR"/>
        </w:rPr>
        <w:t xml:space="preserve">________________________ </w:t>
      </w:r>
      <w:r w:rsidRPr="00B51D2A">
        <w:rPr>
          <w:rFonts w:ascii="Bookman Old Style" w:hAnsi="Bookman Old Style"/>
          <w:szCs w:val="22"/>
          <w:lang w:val="fr-FR"/>
        </w:rPr>
        <w:t>des indices, nous alertâmes la police.</w:t>
      </w:r>
    </w:p>
    <w:p w:rsidR="00001BCB" w:rsidRPr="00B51D2A" w:rsidRDefault="00001BCB" w:rsidP="00B51D2A">
      <w:pPr>
        <w:ind w:left="0"/>
        <w:rPr>
          <w:rFonts w:ascii="Bookman Old Style" w:eastAsia="Times New Roman" w:hAnsi="Bookman Old Style" w:cs="Arial"/>
          <w:vanish/>
          <w:szCs w:val="22"/>
          <w:lang w:val="fr-FR" w:eastAsia="fr-FR"/>
        </w:rPr>
      </w:pPr>
      <w:r w:rsidRPr="00B51D2A">
        <w:rPr>
          <w:rFonts w:ascii="Bookman Old Style" w:hAnsi="Bookman Old Style"/>
          <w:b/>
          <w:bCs/>
          <w:szCs w:val="22"/>
          <w:shd w:val="clear" w:color="auto" w:fill="F8F8F8"/>
          <w:lang w:val="fr-FR"/>
        </w:rPr>
        <w:br/>
      </w:r>
      <w:r w:rsidRPr="00B51D2A">
        <w:rPr>
          <w:rFonts w:ascii="Bookman Old Style" w:hAnsi="Bookman Old Style"/>
          <w:b/>
          <w:bCs/>
          <w:szCs w:val="22"/>
          <w:shd w:val="clear" w:color="auto" w:fill="F8F8F8"/>
          <w:lang w:val="fr-FR"/>
        </w:rPr>
        <w:br/>
      </w:r>
      <w:r w:rsidRPr="00B51D2A">
        <w:rPr>
          <w:rFonts w:ascii="Bookman Old Style" w:eastAsia="Times New Roman" w:hAnsi="Bookman Old Style" w:cs="Arial"/>
          <w:vanish/>
          <w:szCs w:val="22"/>
          <w:lang w:val="fr-FR" w:eastAsia="fr-FR"/>
        </w:rPr>
        <w:lastRenderedPageBreak/>
        <w:t>Bas du formulaire</w:t>
      </w:r>
    </w:p>
    <w:p w:rsidR="00001BCB" w:rsidRPr="00B51D2A" w:rsidRDefault="00001BCB" w:rsidP="00B51D2A">
      <w:pPr>
        <w:pStyle w:val="Paragraphedeliste"/>
        <w:numPr>
          <w:ilvl w:val="0"/>
          <w:numId w:val="3"/>
        </w:numPr>
        <w:jc w:val="center"/>
        <w:rPr>
          <w:rFonts w:ascii="Bookman Old Style" w:eastAsia="Times New Roman" w:hAnsi="Bookman Old Style" w:cs="Arial"/>
          <w:vanish/>
          <w:szCs w:val="22"/>
          <w:lang w:val="fr-FR" w:eastAsia="fr-FR"/>
        </w:rPr>
      </w:pPr>
      <w:r w:rsidRPr="00B51D2A">
        <w:rPr>
          <w:rFonts w:ascii="Bookman Old Style" w:eastAsia="Times New Roman" w:hAnsi="Bookman Old Style" w:cs="Arial"/>
          <w:vanish/>
          <w:szCs w:val="22"/>
          <w:lang w:val="fr-FR" w:eastAsia="fr-FR"/>
        </w:rPr>
        <w:t>Haut du formulaire</w:t>
      </w:r>
    </w:p>
    <w:p w:rsidR="00001BCB" w:rsidRPr="00B51D2A" w:rsidRDefault="00001BCB" w:rsidP="00B51D2A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  <w:r w:rsidRPr="00B51D2A">
        <w:rPr>
          <w:rFonts w:ascii="Bookman Old Style" w:hAnsi="Bookman Old Style" w:cs="Arial"/>
          <w:szCs w:val="22"/>
          <w:lang w:val="fr-FR"/>
        </w:rPr>
        <w:br/>
      </w:r>
      <w:r w:rsidRPr="00B51D2A">
        <w:rPr>
          <w:rFonts w:ascii="Bookman Old Style" w:hAnsi="Bookman Old Style" w:cs="Arial"/>
          <w:sz w:val="28"/>
          <w:szCs w:val="28"/>
          <w:lang w:val="fr-FR"/>
        </w:rPr>
        <w:br/>
      </w:r>
      <w:r w:rsidR="00B51D2A" w:rsidRPr="00B51D2A">
        <w:rPr>
          <w:rFonts w:ascii="Bookman Old Style" w:hAnsi="Bookman Old Style" w:cs="Arial"/>
          <w:sz w:val="28"/>
          <w:szCs w:val="28"/>
          <w:lang w:val="fr-FR"/>
        </w:rPr>
        <w:t>CORRIGE</w:t>
      </w:r>
    </w:p>
    <w:p w:rsidR="00B51D2A" w:rsidRPr="00B51D2A" w:rsidRDefault="00B51D2A" w:rsidP="00B51D2A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Aussitôt que nous (finir) eûmes fini de manger, les invités sortirent dans le jardin.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Quand les Alliés (envahir) eurent envahi la France, Napoléon abdiqua.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Lorsque nous (s’habiller) nous fûmes habillés, nous sortîmes.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Lorsqu’elle (constater) eut constaté que sa température n’avait pas baissé, Emma décida de rester au lit.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Lorsque vous (me parler) m’eûtes parlé d’amour, je crus m’évanouir.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Dès qu’il (cacheter) eut cacheté sa lettre, il courut la poster.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Quand il (tondre) eut tondu la pelouse, il se reposa.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Après qu’il y (passer) eut passé plusieurs années, il y mourut en 1821.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Tant qu’ils (ne pas arriver) ne furent arrivés dans le bois, l’enfant ne dit un seul mot.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David partit dès qu’il (recevoir) eut reçu le télégramme de Londres.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Je (désirer) eus désiré qu’il vînt nous embrasser avant de partir.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Aussitôt que la nuit (tomber) fut tombée, les campeurs allumèrent un feu.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Une fois qu’il (trouver) eut trouvé d’où provenait le bruit, il prit son arme et sortit.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Dès que je (recevoir) eus reçu la confirmation de mon stage, je guettai le facteur.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Tu (donner) eus donné tout pour qu’elle te sourît de nouveau.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Après que les pompiers (contrôler) eurent contrôlé les extincteurs, ils les mirent en marche.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Après que vous (entrer) fûtes entré</w:t>
      </w:r>
      <w:r>
        <w:rPr>
          <w:rFonts w:ascii="Bookman Old Style" w:hAnsi="Bookman Old Style"/>
          <w:sz w:val="28"/>
          <w:szCs w:val="28"/>
          <w:lang w:val="fr-FR"/>
        </w:rPr>
        <w:t>(e) (s)</w:t>
      </w:r>
      <w:r w:rsidRPr="00B51D2A">
        <w:rPr>
          <w:rFonts w:ascii="Bookman Old Style" w:hAnsi="Bookman Old Style"/>
          <w:sz w:val="28"/>
          <w:szCs w:val="28"/>
          <w:lang w:val="fr-FR"/>
        </w:rPr>
        <w:t>, je pris la parole.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Lorsque la pelleteuse (creuser) eut creusé la tranchée, les travailleurs posèrent les câbles.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Dès que je (arriver) fus arrivé dans la pièce, le silence se fit.</w:t>
      </w:r>
    </w:p>
    <w:p w:rsidR="00B51D2A" w:rsidRPr="00B51D2A" w:rsidRDefault="00B51D2A" w:rsidP="00B51D2A">
      <w:pPr>
        <w:pStyle w:val="Paragraphedeliste"/>
        <w:numPr>
          <w:ilvl w:val="0"/>
          <w:numId w:val="5"/>
        </w:numPr>
        <w:ind w:hanging="568"/>
        <w:rPr>
          <w:rFonts w:ascii="Bookman Old Style" w:hAnsi="Bookman Old Style"/>
          <w:sz w:val="28"/>
          <w:szCs w:val="28"/>
          <w:lang w:val="fr-FR"/>
        </w:rPr>
      </w:pPr>
      <w:r w:rsidRPr="00B51D2A">
        <w:rPr>
          <w:rFonts w:ascii="Bookman Old Style" w:hAnsi="Bookman Old Style"/>
          <w:sz w:val="28"/>
          <w:szCs w:val="28"/>
          <w:lang w:val="fr-FR"/>
        </w:rPr>
        <w:t>Dès que nous (rassembler) eûmes rassemblé des indices, nous alertâmes la police.</w:t>
      </w:r>
    </w:p>
    <w:p w:rsidR="00B51D2A" w:rsidRPr="00B51D2A" w:rsidRDefault="00B51D2A" w:rsidP="00B51D2A">
      <w:pPr>
        <w:pStyle w:val="Paragraphedeliste"/>
        <w:ind w:left="0"/>
        <w:rPr>
          <w:rFonts w:ascii="Bookman Old Style" w:hAnsi="Bookman Old Style" w:cs="Arial"/>
          <w:szCs w:val="22"/>
          <w:lang w:val="fr-FR"/>
        </w:rPr>
      </w:pPr>
    </w:p>
    <w:sectPr w:rsidR="00B51D2A" w:rsidRPr="00B51D2A" w:rsidSect="00B51D2A">
      <w:pgSz w:w="11906" w:h="16838"/>
      <w:pgMar w:top="426" w:right="849" w:bottom="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327A"/>
    <w:multiLevelType w:val="hybridMultilevel"/>
    <w:tmpl w:val="809EB468"/>
    <w:lvl w:ilvl="0" w:tplc="040C000F">
      <w:start w:val="1"/>
      <w:numFmt w:val="decimal"/>
      <w:lvlText w:val="%1."/>
      <w:lvlJc w:val="left"/>
      <w:pPr>
        <w:ind w:left="710" w:hanging="360"/>
      </w:pPr>
    </w:lvl>
    <w:lvl w:ilvl="1" w:tplc="040C0019" w:tentative="1">
      <w:start w:val="1"/>
      <w:numFmt w:val="lowerLetter"/>
      <w:lvlText w:val="%2."/>
      <w:lvlJc w:val="left"/>
      <w:pPr>
        <w:ind w:left="1430" w:hanging="360"/>
      </w:pPr>
    </w:lvl>
    <w:lvl w:ilvl="2" w:tplc="040C001B" w:tentative="1">
      <w:start w:val="1"/>
      <w:numFmt w:val="lowerRoman"/>
      <w:lvlText w:val="%3."/>
      <w:lvlJc w:val="right"/>
      <w:pPr>
        <w:ind w:left="2150" w:hanging="180"/>
      </w:pPr>
    </w:lvl>
    <w:lvl w:ilvl="3" w:tplc="040C000F" w:tentative="1">
      <w:start w:val="1"/>
      <w:numFmt w:val="decimal"/>
      <w:lvlText w:val="%4."/>
      <w:lvlJc w:val="left"/>
      <w:pPr>
        <w:ind w:left="2870" w:hanging="360"/>
      </w:pPr>
    </w:lvl>
    <w:lvl w:ilvl="4" w:tplc="040C0019" w:tentative="1">
      <w:start w:val="1"/>
      <w:numFmt w:val="lowerLetter"/>
      <w:lvlText w:val="%5."/>
      <w:lvlJc w:val="left"/>
      <w:pPr>
        <w:ind w:left="3590" w:hanging="360"/>
      </w:pPr>
    </w:lvl>
    <w:lvl w:ilvl="5" w:tplc="040C001B" w:tentative="1">
      <w:start w:val="1"/>
      <w:numFmt w:val="lowerRoman"/>
      <w:lvlText w:val="%6."/>
      <w:lvlJc w:val="right"/>
      <w:pPr>
        <w:ind w:left="4310" w:hanging="180"/>
      </w:pPr>
    </w:lvl>
    <w:lvl w:ilvl="6" w:tplc="040C000F" w:tentative="1">
      <w:start w:val="1"/>
      <w:numFmt w:val="decimal"/>
      <w:lvlText w:val="%7."/>
      <w:lvlJc w:val="left"/>
      <w:pPr>
        <w:ind w:left="5030" w:hanging="360"/>
      </w:pPr>
    </w:lvl>
    <w:lvl w:ilvl="7" w:tplc="040C0019" w:tentative="1">
      <w:start w:val="1"/>
      <w:numFmt w:val="lowerLetter"/>
      <w:lvlText w:val="%8."/>
      <w:lvlJc w:val="left"/>
      <w:pPr>
        <w:ind w:left="5750" w:hanging="360"/>
      </w:pPr>
    </w:lvl>
    <w:lvl w:ilvl="8" w:tplc="040C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>
    <w:nsid w:val="14A246C1"/>
    <w:multiLevelType w:val="hybridMultilevel"/>
    <w:tmpl w:val="1C10DAF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7FA56DF"/>
    <w:multiLevelType w:val="multilevel"/>
    <w:tmpl w:val="BD04F13C"/>
    <w:lvl w:ilvl="0">
      <w:start w:val="1"/>
      <w:numFmt w:val="bullet"/>
      <w:lvlText w:val=""/>
      <w:lvlJc w:val="left"/>
      <w:pPr>
        <w:tabs>
          <w:tab w:val="num" w:pos="978"/>
        </w:tabs>
        <w:ind w:left="97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38"/>
        </w:tabs>
        <w:ind w:left="31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98"/>
        </w:tabs>
        <w:ind w:left="52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  <w:sz w:val="20"/>
      </w:rPr>
    </w:lvl>
  </w:abstractNum>
  <w:abstractNum w:abstractNumId="3">
    <w:nsid w:val="34136913"/>
    <w:multiLevelType w:val="hybridMultilevel"/>
    <w:tmpl w:val="809EB46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A5F15B0"/>
    <w:multiLevelType w:val="hybridMultilevel"/>
    <w:tmpl w:val="680C271A"/>
    <w:lvl w:ilvl="0" w:tplc="16922BC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01BCB"/>
    <w:rsid w:val="00001BCB"/>
    <w:rsid w:val="000E38C8"/>
    <w:rsid w:val="00226A7A"/>
    <w:rsid w:val="00257A4A"/>
    <w:rsid w:val="003712AD"/>
    <w:rsid w:val="00470853"/>
    <w:rsid w:val="00500BD1"/>
    <w:rsid w:val="00516B3B"/>
    <w:rsid w:val="0057578A"/>
    <w:rsid w:val="005B6F1E"/>
    <w:rsid w:val="00690DD3"/>
    <w:rsid w:val="007B0FDB"/>
    <w:rsid w:val="00977686"/>
    <w:rsid w:val="00A00481"/>
    <w:rsid w:val="00A81B0F"/>
    <w:rsid w:val="00AC0DE6"/>
    <w:rsid w:val="00B0090C"/>
    <w:rsid w:val="00B51D2A"/>
    <w:rsid w:val="00BE64D3"/>
    <w:rsid w:val="00C149FD"/>
    <w:rsid w:val="00D979DF"/>
    <w:rsid w:val="00DC7197"/>
    <w:rsid w:val="00ED39D7"/>
    <w:rsid w:val="00FC5406"/>
    <w:rsid w:val="00FE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Print" w:eastAsiaTheme="minorHAnsi" w:hAnsi="Segoe Print" w:cs="Times New Roman"/>
        <w:sz w:val="22"/>
        <w:szCs w:val="24"/>
        <w:lang w:val="fr-F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1BCB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lang w:val="fr-FR" w:eastAsia="fr-FR"/>
    </w:rPr>
  </w:style>
  <w:style w:type="character" w:styleId="Lienhypertexte">
    <w:name w:val="Hyperlink"/>
    <w:basedOn w:val="Policepardfaut"/>
    <w:uiPriority w:val="99"/>
    <w:semiHidden/>
    <w:unhideWhenUsed/>
    <w:rsid w:val="00001BCB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001BCB"/>
  </w:style>
  <w:style w:type="character" w:styleId="Accentuation">
    <w:name w:val="Emphasis"/>
    <w:basedOn w:val="Policepardfaut"/>
    <w:uiPriority w:val="20"/>
    <w:qFormat/>
    <w:rsid w:val="00001BCB"/>
    <w:rPr>
      <w:i/>
      <w:iCs/>
    </w:rPr>
  </w:style>
  <w:style w:type="table" w:styleId="Trameclaire-Accent4">
    <w:name w:val="Light Shading Accent 4"/>
    <w:basedOn w:val="TableauNormal"/>
    <w:uiPriority w:val="60"/>
    <w:rsid w:val="00001BCB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Paragraphedeliste">
    <w:name w:val="List Paragraph"/>
    <w:basedOn w:val="Normal"/>
    <w:uiPriority w:val="34"/>
    <w:qFormat/>
    <w:rsid w:val="00001BC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1B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1BCB"/>
    <w:rPr>
      <w:rFonts w:ascii="Tahoma" w:hAnsi="Tahoma" w:cs="Tahoma"/>
      <w:sz w:val="16"/>
      <w:szCs w:val="16"/>
      <w:lang w:val="en-GB"/>
    </w:rPr>
  </w:style>
  <w:style w:type="character" w:customStyle="1" w:styleId="gapspan">
    <w:name w:val="gapspan"/>
    <w:basedOn w:val="Policepardfaut"/>
    <w:rsid w:val="00001BCB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001BCB"/>
    <w:pPr>
      <w:pBdr>
        <w:bottom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  <w:lang w:val="fr-FR"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001BCB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001BCB"/>
    <w:pPr>
      <w:pBdr>
        <w:top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  <w:lang w:val="fr-FR"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001BCB"/>
    <w:rPr>
      <w:rFonts w:ascii="Arial" w:eastAsia="Times New Roman" w:hAnsi="Arial" w:cs="Arial"/>
      <w:vanish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CAC9F-65BB-4574-B7A5-9E0AA452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2014-02-09T18:21:00Z</dcterms:created>
  <dcterms:modified xsi:type="dcterms:W3CDTF">2014-02-09T18:21:00Z</dcterms:modified>
</cp:coreProperties>
</file>